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D521" w14:textId="77777777" w:rsidR="00705309" w:rsidRPr="00705309" w:rsidRDefault="00705309" w:rsidP="00705309">
      <w:pPr>
        <w:spacing w:line="276" w:lineRule="auto"/>
        <w:rPr>
          <w:rFonts w:ascii="Georgia" w:hAnsi="Georgia"/>
          <w:b/>
        </w:rPr>
      </w:pPr>
      <w:bookmarkStart w:id="0" w:name="_GoBack"/>
      <w:bookmarkEnd w:id="0"/>
      <w:r w:rsidRPr="00705309">
        <w:rPr>
          <w:rFonts w:ascii="Georgia" w:hAnsi="Georgia"/>
          <w:b/>
        </w:rPr>
        <w:t xml:space="preserve">Summary of what </w:t>
      </w:r>
      <w:r>
        <w:rPr>
          <w:rFonts w:ascii="Georgia" w:hAnsi="Georgia"/>
          <w:b/>
        </w:rPr>
        <w:t>the Protecting Sensitive Locations Act</w:t>
      </w:r>
      <w:r w:rsidRPr="00705309">
        <w:rPr>
          <w:rFonts w:ascii="Georgia" w:hAnsi="Georgia"/>
          <w:b/>
        </w:rPr>
        <w:t xml:space="preserve"> would do:</w:t>
      </w:r>
    </w:p>
    <w:p w14:paraId="79731166" w14:textId="5B0A3892" w:rsidR="00705309" w:rsidRPr="00705309" w:rsidRDefault="00705309" w:rsidP="00705309">
      <w:pPr>
        <w:spacing w:line="276" w:lineRule="auto"/>
        <w:rPr>
          <w:rFonts w:ascii="Georgia" w:hAnsi="Georgia"/>
        </w:rPr>
      </w:pPr>
      <w:r w:rsidRPr="00705309">
        <w:rPr>
          <w:rFonts w:ascii="Georgia" w:hAnsi="Georgia"/>
        </w:rPr>
        <w:t>This bill would codify enforcement actions at or focused on sensitive locations</w:t>
      </w:r>
      <w:r>
        <w:rPr>
          <w:rFonts w:ascii="Georgia" w:hAnsi="Georgia"/>
        </w:rPr>
        <w:t>, found in the 2011 ICE Memo, and would expand immigration safe zones</w:t>
      </w:r>
      <w:r w:rsidRPr="00705309">
        <w:rPr>
          <w:rFonts w:ascii="Georgia" w:hAnsi="Georgia"/>
        </w:rPr>
        <w:t>. This would amend the Immigration and Nationality Act (INA) to include language that would define the term “sensitive location,” state</w:t>
      </w:r>
      <w:r w:rsidR="00B34DC3">
        <w:rPr>
          <w:rFonts w:ascii="Georgia" w:hAnsi="Georgia"/>
        </w:rPr>
        <w:t>s</w:t>
      </w:r>
      <w:r w:rsidRPr="00705309">
        <w:rPr>
          <w:rFonts w:ascii="Georgia" w:hAnsi="Georgia"/>
        </w:rPr>
        <w:t xml:space="preserve"> when an immigration enforcement action could take place at such a location, and re</w:t>
      </w:r>
      <w:r>
        <w:rPr>
          <w:rFonts w:ascii="Georgia" w:hAnsi="Georgia"/>
        </w:rPr>
        <w:t xml:space="preserve">quire a report on such actions. </w:t>
      </w:r>
      <w:r w:rsidRPr="00705309">
        <w:rPr>
          <w:rFonts w:ascii="Georgia" w:hAnsi="Georgia"/>
        </w:rPr>
        <w:t xml:space="preserve">The enforcement actions covered by this bill would be (1) arrests; (2) interviews; (3) searches; and (4) for purposes of immigration enforcement only, surveillance. </w:t>
      </w:r>
    </w:p>
    <w:p w14:paraId="4E6F8205" w14:textId="3150A9F1" w:rsidR="00705309" w:rsidRPr="00705309" w:rsidRDefault="00934E0B" w:rsidP="00934E0B">
      <w:pPr>
        <w:spacing w:after="0" w:line="240" w:lineRule="auto"/>
        <w:rPr>
          <w:rFonts w:ascii="Georgia" w:hAnsi="Georgia"/>
          <w:b/>
        </w:rPr>
      </w:pPr>
      <w:r w:rsidRPr="00705309">
        <w:rPr>
          <w:rFonts w:ascii="Georgia" w:hAnsi="Georgia"/>
          <w:b/>
        </w:rPr>
        <w:t>ICE Memo:</w:t>
      </w:r>
    </w:p>
    <w:p w14:paraId="296260C5" w14:textId="3CE10B3D" w:rsidR="0030062E" w:rsidRDefault="00934E0B" w:rsidP="00934E0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05309">
        <w:rPr>
          <w:rFonts w:ascii="Georgia" w:hAnsi="Georgia"/>
        </w:rPr>
        <w:t xml:space="preserve">schools (including </w:t>
      </w:r>
      <w:r w:rsidR="00FC02B8">
        <w:rPr>
          <w:rFonts w:ascii="Georgia" w:hAnsi="Georgia"/>
        </w:rPr>
        <w:t xml:space="preserve">pre-schools, </w:t>
      </w:r>
      <w:r w:rsidRPr="00705309">
        <w:rPr>
          <w:rFonts w:ascii="Georgia" w:hAnsi="Georgia"/>
        </w:rPr>
        <w:t>primary schools, secondary schools, post-secondary schools up to and including colleges and universities, and other institutions of learning such as vocational or trade schools);</w:t>
      </w:r>
    </w:p>
    <w:p w14:paraId="26DBDF59" w14:textId="5BFFFE5A" w:rsidR="00934E0B" w:rsidRPr="00705309" w:rsidRDefault="0030062E" w:rsidP="00934E0B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bus stops</w:t>
      </w:r>
      <w:r w:rsidR="00227A94">
        <w:rPr>
          <w:rFonts w:ascii="Georgia" w:hAnsi="Georgia"/>
        </w:rPr>
        <w:t xml:space="preserve"> that are clearly marked and/or known to the officer during times when children are present</w:t>
      </w:r>
      <w:r>
        <w:rPr>
          <w:rFonts w:ascii="Georgia" w:hAnsi="Georgia"/>
        </w:rPr>
        <w:t>;</w:t>
      </w:r>
      <w:r w:rsidR="00934E0B" w:rsidRPr="00705309">
        <w:rPr>
          <w:rFonts w:ascii="Georgia" w:hAnsi="Georgia"/>
        </w:rPr>
        <w:t xml:space="preserve"> </w:t>
      </w:r>
    </w:p>
    <w:p w14:paraId="5C141187" w14:textId="77777777" w:rsidR="00934E0B" w:rsidRPr="00705309" w:rsidRDefault="00934E0B" w:rsidP="00934E0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05309">
        <w:rPr>
          <w:rFonts w:ascii="Georgia" w:hAnsi="Georgia"/>
        </w:rPr>
        <w:t xml:space="preserve">hospitals; </w:t>
      </w:r>
    </w:p>
    <w:p w14:paraId="08F14ABA" w14:textId="77777777" w:rsidR="00934E0B" w:rsidRPr="00705309" w:rsidRDefault="00934E0B" w:rsidP="00934E0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05309">
        <w:rPr>
          <w:rFonts w:ascii="Georgia" w:hAnsi="Georgia"/>
        </w:rPr>
        <w:t xml:space="preserve">churches, synagogues, mosques or other institutions of worship, such as buildings rented for the purpose of religious services; </w:t>
      </w:r>
    </w:p>
    <w:p w14:paraId="2BCC7D84" w14:textId="77777777" w:rsidR="00934E0B" w:rsidRPr="00705309" w:rsidRDefault="00934E0B" w:rsidP="00934E0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05309">
        <w:rPr>
          <w:rFonts w:ascii="Georgia" w:hAnsi="Georgia"/>
        </w:rPr>
        <w:t xml:space="preserve">the site of a funeral, wedding, or other public religious ceremony; </w:t>
      </w:r>
    </w:p>
    <w:p w14:paraId="5EF7F06A" w14:textId="77777777" w:rsidR="00934E0B" w:rsidRDefault="00934E0B" w:rsidP="00934E0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05309">
        <w:rPr>
          <w:rFonts w:ascii="Georgia" w:hAnsi="Georgia"/>
        </w:rPr>
        <w:t>a site during the occurrence of a public demonstration, such as a march, rally or parade.</w:t>
      </w:r>
    </w:p>
    <w:p w14:paraId="68CF0CF0" w14:textId="77777777" w:rsidR="00705309" w:rsidRPr="00705309" w:rsidRDefault="00705309" w:rsidP="00FC02B8">
      <w:pPr>
        <w:pStyle w:val="ListParagraph"/>
        <w:rPr>
          <w:rFonts w:ascii="Georgia" w:hAnsi="Georgia"/>
        </w:rPr>
      </w:pPr>
    </w:p>
    <w:p w14:paraId="6A304BBF" w14:textId="77777777" w:rsidR="00705309" w:rsidRDefault="00934E0B" w:rsidP="00705309">
      <w:pPr>
        <w:rPr>
          <w:rFonts w:ascii="Georgia" w:hAnsi="Georgia"/>
          <w:b/>
        </w:rPr>
      </w:pPr>
      <w:r w:rsidRPr="00705309">
        <w:rPr>
          <w:rFonts w:ascii="Georgia" w:hAnsi="Georgia"/>
          <w:b/>
        </w:rPr>
        <w:t xml:space="preserve">Protecting Sensitive Locations Act: </w:t>
      </w:r>
    </w:p>
    <w:p w14:paraId="59D6C231" w14:textId="77777777" w:rsidR="00934E0B" w:rsidRPr="00705309" w:rsidRDefault="00934E0B" w:rsidP="00705309">
      <w:pPr>
        <w:pStyle w:val="ListParagraph"/>
        <w:numPr>
          <w:ilvl w:val="0"/>
          <w:numId w:val="4"/>
        </w:numPr>
        <w:rPr>
          <w:rFonts w:ascii="Georgia" w:hAnsi="Georgia"/>
          <w:b/>
        </w:rPr>
      </w:pPr>
      <w:r w:rsidRPr="00705309">
        <w:rPr>
          <w:rFonts w:ascii="Georgia" w:hAnsi="Georgia"/>
        </w:rPr>
        <w:t>Any medical treatment or health care facility, including any hospital, doctor’s office, accredited health clinic, or emergent or urgent care facility, or community health center;</w:t>
      </w:r>
    </w:p>
    <w:p w14:paraId="1EE4A98B" w14:textId="79106DF1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 xml:space="preserve">Public and private schools (including </w:t>
      </w:r>
      <w:r w:rsidR="00FC02B8">
        <w:rPr>
          <w:rFonts w:ascii="Georgia" w:hAnsi="Georgia"/>
        </w:rPr>
        <w:t>early childhood education programs</w:t>
      </w:r>
      <w:r w:rsidRPr="00705309">
        <w:rPr>
          <w:rFonts w:ascii="Georgia" w:hAnsi="Georgia"/>
        </w:rPr>
        <w:t>, primary schools, secondary schools, postsecondary schools (including colleges and universities), and other institutions of learning such as vocational or trade schools);</w:t>
      </w:r>
    </w:p>
    <w:p w14:paraId="454907DF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Any scholastic or education-related activity or event, including field trips and interscholastic events;</w:t>
      </w:r>
    </w:p>
    <w:p w14:paraId="1DBFCFB4" w14:textId="06CDA468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Any school bus or school bus stop during periods when children are present;</w:t>
      </w:r>
    </w:p>
    <w:p w14:paraId="628FF020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Locations where emergency services providers provide shelter or food.</w:t>
      </w:r>
    </w:p>
    <w:p w14:paraId="46FBDD42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Any organization that—</w:t>
      </w:r>
    </w:p>
    <w:p w14:paraId="4763FA74" w14:textId="77777777" w:rsidR="00934E0B" w:rsidRPr="00705309" w:rsidRDefault="00934E0B" w:rsidP="00934E0B">
      <w:pPr>
        <w:pStyle w:val="ListParagraph"/>
        <w:numPr>
          <w:ilvl w:val="1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assists children, pregnant women, victims of crime or abuse, or individuals with significant mental or physical disabilities; or</w:t>
      </w:r>
    </w:p>
    <w:p w14:paraId="618C06EF" w14:textId="77777777" w:rsidR="00934E0B" w:rsidRPr="00705309" w:rsidRDefault="00934E0B" w:rsidP="00934E0B">
      <w:pPr>
        <w:pStyle w:val="ListParagraph"/>
        <w:numPr>
          <w:ilvl w:val="1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provides disaster or emergency social services and assistance, including, but not limited to, food banks and homeless shelters;</w:t>
      </w:r>
    </w:p>
    <w:p w14:paraId="53F2F403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Churches, synagogues, mosques, and other places of worship, such as buildings rented for the purpose of religious services.</w:t>
      </w:r>
    </w:p>
    <w:p w14:paraId="2A87F43A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Sites of funerals, weddings, or other public religious ceremonies.</w:t>
      </w:r>
    </w:p>
    <w:p w14:paraId="3CB12671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Sites during the occurrence of a public demonstration, such as a march, rally, or parade.</w:t>
      </w:r>
    </w:p>
    <w:p w14:paraId="731CA0ED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Any Federal, State, or local courthouse, including the office of an individual’s legal counsel or representative, and a probation office.</w:t>
      </w:r>
    </w:p>
    <w:p w14:paraId="2C56A92C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Congressional district offices.</w:t>
      </w:r>
    </w:p>
    <w:p w14:paraId="13A4C73E" w14:textId="773F6C80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Public assistance offices</w:t>
      </w:r>
      <w:r w:rsidR="00FC02B8">
        <w:rPr>
          <w:rFonts w:ascii="Georgia" w:hAnsi="Georgia"/>
        </w:rPr>
        <w:t xml:space="preserve">, including </w:t>
      </w:r>
      <w:r w:rsidR="00227A94">
        <w:rPr>
          <w:rFonts w:ascii="Georgia" w:hAnsi="Georgia"/>
        </w:rPr>
        <w:t>locations where individuals may apply for or receive unemployment benefits or report violations of labor and employment laws</w:t>
      </w:r>
      <w:r w:rsidRPr="00705309">
        <w:rPr>
          <w:rFonts w:ascii="Georgia" w:hAnsi="Georgia"/>
        </w:rPr>
        <w:t>.</w:t>
      </w:r>
    </w:p>
    <w:p w14:paraId="337C493A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Social Security offices.</w:t>
      </w:r>
    </w:p>
    <w:p w14:paraId="4211F649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 xml:space="preserve">DMV offices. </w:t>
      </w:r>
    </w:p>
    <w:p w14:paraId="46221B8C" w14:textId="77777777" w:rsidR="00934E0B" w:rsidRPr="00705309" w:rsidRDefault="00934E0B" w:rsidP="00934E0B">
      <w:pPr>
        <w:pStyle w:val="ListParagraph"/>
        <w:numPr>
          <w:ilvl w:val="0"/>
          <w:numId w:val="2"/>
        </w:numPr>
        <w:autoSpaceDE w:val="0"/>
        <w:autoSpaceDN w:val="0"/>
        <w:rPr>
          <w:rFonts w:ascii="Georgia" w:hAnsi="Georgia"/>
        </w:rPr>
      </w:pPr>
      <w:r w:rsidRPr="00705309">
        <w:rPr>
          <w:rFonts w:ascii="Georgia" w:hAnsi="Georgia"/>
        </w:rPr>
        <w:t>Such other locations as the Secretary Homeland Security shall specify for purposes of this subsection.</w:t>
      </w:r>
    </w:p>
    <w:p w14:paraId="25879936" w14:textId="77777777" w:rsidR="00705309" w:rsidRPr="00297BDC" w:rsidRDefault="00705309" w:rsidP="00705309">
      <w:pPr>
        <w:pStyle w:val="lbexindentparagraph"/>
        <w:shd w:val="clear" w:color="auto" w:fill="FFFFFF"/>
        <w:ind w:left="0" w:firstLine="0"/>
        <w:rPr>
          <w:rFonts w:ascii="Georgia" w:hAnsi="Georgia"/>
          <w:sz w:val="22"/>
          <w:szCs w:val="22"/>
          <w:lang w:val="en"/>
        </w:rPr>
      </w:pPr>
      <w:r>
        <w:rPr>
          <w:rFonts w:ascii="Georgia" w:hAnsi="Georgia"/>
          <w:b/>
          <w:sz w:val="22"/>
          <w:szCs w:val="22"/>
          <w:lang w:val="en"/>
        </w:rPr>
        <w:t xml:space="preserve">Written permission, and exceptions </w:t>
      </w:r>
      <w:r w:rsidRPr="007C4AAE">
        <w:rPr>
          <w:rFonts w:ascii="Georgia" w:hAnsi="Georgia"/>
          <w:b/>
          <w:sz w:val="22"/>
          <w:szCs w:val="22"/>
          <w:lang w:val="en"/>
        </w:rPr>
        <w:t>can be granted under the following circumstances:</w:t>
      </w:r>
      <w:r>
        <w:rPr>
          <w:rFonts w:ascii="Georgia" w:hAnsi="Georgia"/>
          <w:sz w:val="22"/>
          <w:szCs w:val="22"/>
          <w:lang w:val="en"/>
        </w:rPr>
        <w:t xml:space="preserve"> </w:t>
      </w:r>
    </w:p>
    <w:p w14:paraId="5E0D6DCE" w14:textId="77777777" w:rsidR="00705309" w:rsidRPr="00297BDC" w:rsidRDefault="00705309" w:rsidP="00705309">
      <w:pPr>
        <w:pStyle w:val="lbexindentsubpar"/>
        <w:numPr>
          <w:ilvl w:val="0"/>
          <w:numId w:val="3"/>
        </w:numPr>
        <w:shd w:val="clear" w:color="auto" w:fill="FFFFFF"/>
        <w:rPr>
          <w:rFonts w:ascii="Georgia" w:hAnsi="Georgia"/>
          <w:sz w:val="22"/>
          <w:szCs w:val="22"/>
          <w:lang w:val="en"/>
        </w:rPr>
      </w:pPr>
      <w:r w:rsidRPr="00297BDC">
        <w:rPr>
          <w:rFonts w:ascii="Georgia" w:hAnsi="Georgia"/>
          <w:sz w:val="22"/>
          <w:szCs w:val="22"/>
          <w:lang w:val="en"/>
        </w:rPr>
        <w:t>The imminent risk of death, violence, or physical harm to any person, including a situation implicating terrorism or the national security of the United States in some other manner.</w:t>
      </w:r>
    </w:p>
    <w:p w14:paraId="443A52B9" w14:textId="77777777" w:rsidR="00705309" w:rsidRPr="00297BDC" w:rsidRDefault="00705309" w:rsidP="00705309">
      <w:pPr>
        <w:pStyle w:val="lbexindentsubpar"/>
        <w:numPr>
          <w:ilvl w:val="0"/>
          <w:numId w:val="3"/>
        </w:numPr>
        <w:shd w:val="clear" w:color="auto" w:fill="FFFFFF"/>
        <w:rPr>
          <w:rFonts w:ascii="Georgia" w:hAnsi="Georgia"/>
          <w:sz w:val="22"/>
          <w:szCs w:val="22"/>
          <w:lang w:val="en"/>
        </w:rPr>
      </w:pPr>
      <w:r w:rsidRPr="00297BDC">
        <w:rPr>
          <w:rFonts w:ascii="Georgia" w:hAnsi="Georgia"/>
          <w:sz w:val="22"/>
          <w:szCs w:val="22"/>
          <w:lang w:val="en"/>
        </w:rPr>
        <w:t>The immediate arrest or pursuit of a dangerous felon, terrorist suspect, or other individual presenting an imminent danger or public safety risk.</w:t>
      </w:r>
    </w:p>
    <w:p w14:paraId="0C8469B6" w14:textId="77777777" w:rsidR="00213DFD" w:rsidRPr="00705309" w:rsidRDefault="00705309" w:rsidP="00705309">
      <w:pPr>
        <w:pStyle w:val="lbexindentsubpar"/>
        <w:numPr>
          <w:ilvl w:val="0"/>
          <w:numId w:val="3"/>
        </w:numPr>
        <w:shd w:val="clear" w:color="auto" w:fill="FFFFFF"/>
        <w:rPr>
          <w:rFonts w:ascii="Georgia" w:hAnsi="Georgia"/>
          <w:sz w:val="22"/>
          <w:szCs w:val="22"/>
          <w:lang w:val="en"/>
        </w:rPr>
      </w:pPr>
      <w:r w:rsidRPr="00297BDC">
        <w:rPr>
          <w:rFonts w:ascii="Georgia" w:hAnsi="Georgia"/>
          <w:sz w:val="22"/>
          <w:szCs w:val="22"/>
          <w:lang w:val="en"/>
        </w:rPr>
        <w:t>The imminent risk of destruction of evidence that is material to an ongoing criminal case.</w:t>
      </w:r>
    </w:p>
    <w:sectPr w:rsidR="00213DFD" w:rsidRPr="00705309" w:rsidSect="00705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63D"/>
    <w:multiLevelType w:val="hybridMultilevel"/>
    <w:tmpl w:val="C368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95144"/>
    <w:multiLevelType w:val="hybridMultilevel"/>
    <w:tmpl w:val="AD16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76AEC"/>
    <w:multiLevelType w:val="hybridMultilevel"/>
    <w:tmpl w:val="63FC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896"/>
    <w:multiLevelType w:val="hybridMultilevel"/>
    <w:tmpl w:val="9EAE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0B"/>
    <w:rsid w:val="001D7506"/>
    <w:rsid w:val="00213DFD"/>
    <w:rsid w:val="00227A94"/>
    <w:rsid w:val="0030062E"/>
    <w:rsid w:val="003E14E7"/>
    <w:rsid w:val="00705309"/>
    <w:rsid w:val="00934E0B"/>
    <w:rsid w:val="00B34DC3"/>
    <w:rsid w:val="00F56829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5ED1"/>
  <w15:chartTrackingRefBased/>
  <w15:docId w15:val="{B84EF84A-D927-41EF-B8AF-6F17A249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0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E0B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B"/>
    <w:rPr>
      <w:rFonts w:ascii="Segoe UI" w:hAnsi="Segoe UI" w:cs="Segoe UI"/>
      <w:sz w:val="18"/>
      <w:szCs w:val="18"/>
    </w:rPr>
  </w:style>
  <w:style w:type="paragraph" w:customStyle="1" w:styleId="lbexindentsubpar">
    <w:name w:val="lbexindentsubpar"/>
    <w:basedOn w:val="Normal"/>
    <w:uiPriority w:val="99"/>
    <w:rsid w:val="00705309"/>
    <w:pPr>
      <w:spacing w:before="100" w:beforeAutospacing="1" w:after="100" w:afterAutospacing="1" w:line="240" w:lineRule="auto"/>
      <w:ind w:left="960" w:firstLine="480"/>
    </w:pPr>
    <w:rPr>
      <w:rFonts w:ascii="Times New Roman" w:hAnsi="Times New Roman" w:cs="Times New Roman"/>
      <w:sz w:val="24"/>
      <w:szCs w:val="24"/>
    </w:rPr>
  </w:style>
  <w:style w:type="paragraph" w:customStyle="1" w:styleId="lbexindentparagraph">
    <w:name w:val="lbexindentparagraph"/>
    <w:basedOn w:val="Normal"/>
    <w:uiPriority w:val="99"/>
    <w:rsid w:val="00705309"/>
    <w:pPr>
      <w:spacing w:before="100" w:beforeAutospacing="1" w:after="100" w:afterAutospacing="1" w:line="240" w:lineRule="auto"/>
      <w:ind w:left="480" w:firstLine="48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Carranza, Valeria</dc:creator>
  <cp:keywords/>
  <dc:description/>
  <cp:lastModifiedBy>Brandon Toth</cp:lastModifiedBy>
  <cp:revision>2</cp:revision>
  <cp:lastPrinted>2017-03-30T13:46:00Z</cp:lastPrinted>
  <dcterms:created xsi:type="dcterms:W3CDTF">2019-02-13T16:43:00Z</dcterms:created>
  <dcterms:modified xsi:type="dcterms:W3CDTF">2019-02-13T16:43:00Z</dcterms:modified>
</cp:coreProperties>
</file>